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AD00D" w14:textId="7D7D8166" w:rsidR="00906E4B" w:rsidRPr="003A4659" w:rsidRDefault="00906E4B" w:rsidP="00906E4B">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EF487A">
        <w:rPr>
          <w:rFonts w:ascii="Arial" w:hAnsi="Arial" w:cs="Arial"/>
          <w:b/>
          <w:sz w:val="24"/>
          <w:szCs w:val="24"/>
          <w:lang w:val="en-US" w:eastAsia="zh-CN"/>
        </w:rPr>
        <w:t>R4-23</w:t>
      </w:r>
      <w:r w:rsidRPr="00EF487A">
        <w:rPr>
          <w:rFonts w:ascii="Arial" w:eastAsia="新細明體" w:hAnsi="Arial" w:cs="Arial" w:hint="eastAsia"/>
          <w:b/>
          <w:sz w:val="24"/>
          <w:szCs w:val="24"/>
          <w:lang w:val="en-US" w:eastAsia="zh-TW"/>
        </w:rPr>
        <w:t>1</w:t>
      </w:r>
      <w:r w:rsidR="00EF487A" w:rsidRPr="00EF487A">
        <w:rPr>
          <w:rFonts w:ascii="Arial" w:hAnsi="Arial" w:cs="Arial"/>
          <w:b/>
          <w:sz w:val="24"/>
          <w:szCs w:val="24"/>
          <w:lang w:val="en-US" w:eastAsia="zh-CN"/>
        </w:rPr>
        <w:t>5246</w:t>
      </w:r>
    </w:p>
    <w:p w14:paraId="4FAC8180" w14:textId="77777777" w:rsidR="00906E4B" w:rsidRPr="003A4659" w:rsidRDefault="00906E4B" w:rsidP="00906E4B">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906E4B" w:rsidRDefault="001E0A28" w:rsidP="001E0A28">
      <w:pPr>
        <w:spacing w:after="120"/>
        <w:ind w:left="1985" w:hanging="1985"/>
        <w:rPr>
          <w:rFonts w:ascii="Arial" w:eastAsia="MS Mincho" w:hAnsi="Arial" w:cs="Arial"/>
          <w:b/>
          <w:sz w:val="22"/>
          <w:lang w:val="en-US"/>
        </w:rPr>
      </w:pPr>
    </w:p>
    <w:p w14:paraId="282755FA" w14:textId="20E5BF61"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906E4B">
        <w:rPr>
          <w:rFonts w:ascii="Arial" w:eastAsia="新細明體" w:hAnsi="Arial" w:cs="Arial"/>
          <w:color w:val="000000"/>
          <w:sz w:val="22"/>
          <w:lang w:val="pt-BR" w:eastAsia="zh-TW"/>
        </w:rPr>
        <w:t>5</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F1741">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5E0DA9">
        <w:rPr>
          <w:rFonts w:ascii="Arial" w:eastAsia="新細明體" w:hAnsi="Arial" w:cs="Arial" w:hint="eastAsia"/>
          <w:color w:val="000000"/>
          <w:sz w:val="22"/>
          <w:lang w:eastAsia="zh-TW"/>
        </w:rPr>
        <w:t>1</w:t>
      </w:r>
      <w:r w:rsidR="00DA6766">
        <w:rPr>
          <w:rFonts w:ascii="Arial" w:eastAsia="新細明體" w:hAnsi="Arial" w:cs="Arial"/>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0A4218D2"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5E0DA9" w:rsidRPr="005E0DA9">
        <w:rPr>
          <w:rFonts w:ascii="Arial" w:eastAsiaTheme="minorEastAsia" w:hAnsi="Arial" w:cs="Arial"/>
          <w:color w:val="000000"/>
          <w:sz w:val="22"/>
          <w:lang w:eastAsia="zh-CN"/>
        </w:rPr>
        <w:t>Discussion on LS on PUSCH DMRS bundling for NR NTN coverage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69560C" w:rsidRDefault="00915D73" w:rsidP="001645FB">
      <w:pPr>
        <w:pStyle w:val="Heading1"/>
        <w:rPr>
          <w:rFonts w:eastAsiaTheme="minorEastAsia"/>
          <w:lang w:eastAsia="zh-CN"/>
        </w:rPr>
      </w:pPr>
      <w:r w:rsidRPr="0069560C">
        <w:rPr>
          <w:lang w:eastAsia="ja-JP"/>
        </w:rPr>
        <w:t>Introduction</w:t>
      </w:r>
    </w:p>
    <w:p w14:paraId="2950CF94" w14:textId="77777777" w:rsidR="001635DE" w:rsidRDefault="001635DE" w:rsidP="00447B0C">
      <w:pPr>
        <w:pStyle w:val="Default"/>
        <w:jc w:val="both"/>
        <w:rPr>
          <w:rFonts w:ascii="Times New Roman" w:eastAsia="Times New Roman" w:hAnsi="Times New Roman" w:cs="Times New Roman"/>
          <w:color w:val="auto"/>
          <w:sz w:val="20"/>
          <w:szCs w:val="20"/>
        </w:rPr>
      </w:pPr>
    </w:p>
    <w:p w14:paraId="2921D46E" w14:textId="5A5D5AC2" w:rsidR="00293794" w:rsidRDefault="001635DE" w:rsidP="00447B0C">
      <w:pPr>
        <w:pStyle w:val="Default"/>
        <w:jc w:val="both"/>
        <w:rPr>
          <w:rFonts w:ascii="Times New Roman" w:eastAsia="Times New Roman" w:hAnsi="Times New Roman" w:cs="Times New Roman"/>
          <w:color w:val="auto"/>
          <w:sz w:val="20"/>
          <w:szCs w:val="20"/>
        </w:rPr>
      </w:pPr>
      <w:r w:rsidRPr="001635DE">
        <w:rPr>
          <w:rFonts w:ascii="Times New Roman" w:eastAsia="Times New Roman" w:hAnsi="Times New Roman" w:cs="Times New Roman"/>
          <w:color w:val="auto"/>
          <w:sz w:val="20"/>
          <w:szCs w:val="20"/>
        </w:rPr>
        <w:t>One LS is received from RAN</w:t>
      </w:r>
      <w:r>
        <w:rPr>
          <w:rFonts w:ascii="Times New Roman" w:eastAsia="Times New Roman" w:hAnsi="Times New Roman" w:cs="Times New Roman"/>
          <w:color w:val="auto"/>
          <w:sz w:val="20"/>
          <w:szCs w:val="20"/>
        </w:rPr>
        <w:t>1</w:t>
      </w:r>
      <w:r w:rsidRPr="001635DE">
        <w:rPr>
          <w:rFonts w:ascii="Times New Roman" w:eastAsia="Times New Roman" w:hAnsi="Times New Roman" w:cs="Times New Roman"/>
          <w:color w:val="auto"/>
          <w:sz w:val="20"/>
          <w:szCs w:val="20"/>
        </w:rPr>
        <w:t xml:space="preserve"> regarding </w:t>
      </w:r>
      <w:r w:rsidRPr="00C24ED8">
        <w:rPr>
          <w:rFonts w:ascii="Times New Roman" w:eastAsia="Times New Roman" w:hAnsi="Times New Roman" w:cs="Times New Roman"/>
          <w:color w:val="auto"/>
          <w:sz w:val="20"/>
          <w:szCs w:val="20"/>
        </w:rPr>
        <w:t>PUSCH DMRS bundling for NR NTN coverage</w:t>
      </w:r>
      <w:r w:rsidRPr="001635DE">
        <w:rPr>
          <w:rFonts w:ascii="Times New Roman" w:eastAsia="Times New Roman" w:hAnsi="Times New Roman" w:cs="Times New Roman"/>
          <w:color w:val="auto"/>
          <w:sz w:val="20"/>
          <w:szCs w:val="20"/>
        </w:rPr>
        <w:t xml:space="preserve"> [1].</w:t>
      </w:r>
      <w:r w:rsidR="00293794">
        <w:rPr>
          <w:rFonts w:ascii="Times New Roman" w:eastAsia="Times New Roman" w:hAnsi="Times New Roman" w:cs="Times New Roman"/>
          <w:color w:val="auto"/>
          <w:sz w:val="20"/>
          <w:szCs w:val="20"/>
        </w:rPr>
        <w:t xml:space="preserve"> And the working assumption was reached in RAN1 as blow.</w:t>
      </w:r>
    </w:p>
    <w:p w14:paraId="00425E5E" w14:textId="6F5DCB25" w:rsidR="00293794" w:rsidRDefault="00293794" w:rsidP="00447B0C">
      <w:pPr>
        <w:pStyle w:val="Default"/>
        <w:jc w:val="both"/>
        <w:rPr>
          <w:rFonts w:ascii="Times New Roman" w:eastAsia="Times New Roman" w:hAnsi="Times New Roman" w:cs="Times New Roman"/>
          <w:color w:val="auto"/>
          <w:sz w:val="20"/>
          <w:szCs w:val="20"/>
        </w:rPr>
      </w:pPr>
      <w:r w:rsidRPr="00293794">
        <w:rPr>
          <w:rFonts w:ascii="Times New Roman" w:eastAsia="Times New Roman" w:hAnsi="Times New Roman" w:cs="Times New Roman"/>
          <w:noProof/>
          <w:color w:val="auto"/>
          <w:sz w:val="20"/>
          <w:szCs w:val="20"/>
        </w:rPr>
        <mc:AlternateContent>
          <mc:Choice Requires="wps">
            <w:drawing>
              <wp:anchor distT="45720" distB="45720" distL="114300" distR="114300" simplePos="0" relativeHeight="251661312" behindDoc="0" locked="0" layoutInCell="1" allowOverlap="1" wp14:anchorId="78B60142" wp14:editId="181800D3">
                <wp:simplePos x="0" y="0"/>
                <wp:positionH relativeFrom="column">
                  <wp:posOffset>-9525</wp:posOffset>
                </wp:positionH>
                <wp:positionV relativeFrom="paragraph">
                  <wp:posOffset>327025</wp:posOffset>
                </wp:positionV>
                <wp:extent cx="6165215" cy="1404620"/>
                <wp:effectExtent l="0" t="0" r="2603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rgbClr val="FFFFFF"/>
                        </a:solidFill>
                        <a:ln w="9525">
                          <a:solidFill>
                            <a:srgbClr val="000000"/>
                          </a:solidFill>
                          <a:miter lim="800000"/>
                          <a:headEnd/>
                          <a:tailEnd/>
                        </a:ln>
                      </wps:spPr>
                      <wps:txbx>
                        <w:txbxContent>
                          <w:p w14:paraId="2CC382FE" w14:textId="12A9E73D" w:rsidR="00293794" w:rsidRPr="00102A0B" w:rsidRDefault="00293794" w:rsidP="00293794">
                            <w:pPr>
                              <w:tabs>
                                <w:tab w:val="left" w:pos="1064"/>
                              </w:tabs>
                              <w:spacing w:after="0"/>
                              <w:rPr>
                                <w:rFonts w:eastAsia="Batang"/>
                                <w:b/>
                                <w:szCs w:val="24"/>
                                <w:lang w:val="en-US" w:eastAsia="x-none"/>
                              </w:rPr>
                            </w:pPr>
                            <w:bookmarkStart w:id="2" w:name="_Hlk142692486"/>
                            <w:r w:rsidRPr="00102A0B">
                              <w:rPr>
                                <w:rFonts w:eastAsia="Batang"/>
                                <w:b/>
                                <w:szCs w:val="24"/>
                                <w:highlight w:val="darkYellow"/>
                                <w:lang w:val="en-US" w:eastAsia="x-none"/>
                              </w:rPr>
                              <w:t>Working assumption</w:t>
                            </w:r>
                          </w:p>
                          <w:p w14:paraId="63850B3C" w14:textId="77777777" w:rsidR="00293794" w:rsidRPr="00102A0B" w:rsidRDefault="00293794" w:rsidP="00293794">
                            <w:pPr>
                              <w:tabs>
                                <w:tab w:val="left" w:pos="1064"/>
                              </w:tabs>
                              <w:spacing w:after="0"/>
                              <w:rPr>
                                <w:rFonts w:eastAsia="Batang"/>
                                <w:szCs w:val="24"/>
                                <w:lang w:val="en-US" w:eastAsia="x-none"/>
                              </w:rPr>
                            </w:pPr>
                            <w:r w:rsidRPr="00102A0B">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20CE926"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 xml:space="preserve">UE shall not perform TA pre-compensation update </w:t>
                            </w:r>
                            <w:r w:rsidRPr="00102A0B">
                              <w:rPr>
                                <w:szCs w:val="24"/>
                                <w:lang w:val="en-US"/>
                              </w:rPr>
                              <w:t>within an actual TDW</w:t>
                            </w:r>
                            <w:r w:rsidRPr="00102A0B">
                              <w:rPr>
                                <w:rFonts w:eastAsia="Batang"/>
                                <w:szCs w:val="18"/>
                                <w:lang w:val="en-US"/>
                              </w:rPr>
                              <w:t xml:space="preserve"> if it causes phase discontinuity that may violate the p</w:t>
                            </w:r>
                            <w:r w:rsidRPr="00102A0B">
                              <w:rPr>
                                <w:szCs w:val="24"/>
                                <w:lang w:val="en-US"/>
                              </w:rPr>
                              <w:t>hase difference limit.</w:t>
                            </w:r>
                          </w:p>
                          <w:p w14:paraId="4458FCF1" w14:textId="77777777" w:rsidR="00293794" w:rsidRPr="00102A0B" w:rsidRDefault="00293794" w:rsidP="00293794">
                            <w:pPr>
                              <w:numPr>
                                <w:ilvl w:val="1"/>
                                <w:numId w:val="25"/>
                              </w:numPr>
                              <w:snapToGrid w:val="0"/>
                              <w:spacing w:after="0"/>
                              <w:rPr>
                                <w:rFonts w:eastAsia="Batang"/>
                                <w:szCs w:val="18"/>
                                <w:lang w:val="en-US"/>
                              </w:rPr>
                            </w:pPr>
                            <w:r w:rsidRPr="00102A0B">
                              <w:rPr>
                                <w:rFonts w:eastAsia="Batang"/>
                                <w:szCs w:val="18"/>
                                <w:lang w:val="en-US"/>
                              </w:rPr>
                              <w:t>FFS: how to determine the actual TDW</w:t>
                            </w:r>
                          </w:p>
                          <w:p w14:paraId="24EC94DA"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FFS: specification impact</w:t>
                            </w:r>
                          </w:p>
                          <w:p w14:paraId="7FCE1340" w14:textId="018CD3E7" w:rsidR="00293794" w:rsidRDefault="00293794" w:rsidP="00293794">
                            <w:r w:rsidRPr="00102A0B">
                              <w:rPr>
                                <w:rFonts w:eastAsia="Batang"/>
                                <w:szCs w:val="18"/>
                                <w:lang w:val="en-US"/>
                              </w:rPr>
                              <w:t>Send an LS to RAN4</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B60142" id="_x0000_t202" coordsize="21600,21600" o:spt="202" path="m,l,21600r21600,l21600,xe">
                <v:stroke joinstyle="miter"/>
                <v:path gradientshapeok="t" o:connecttype="rect"/>
              </v:shapetype>
              <v:shape id="Text Box 2" o:spid="_x0000_s1026" type="#_x0000_t202" style="position:absolute;left:0;text-align:left;margin-left:-.75pt;margin-top:25.75pt;width:485.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">
                <v:textbox style="mso-fit-shape-to-text:t">
                  <w:txbxContent>
                    <w:p w14:paraId="2CC382FE" w14:textId="12A9E73D" w:rsidR="00293794" w:rsidRPr="00102A0B" w:rsidRDefault="00293794" w:rsidP="00293794">
                      <w:pPr>
                        <w:tabs>
                          <w:tab w:val="left" w:pos="1064"/>
                        </w:tabs>
                        <w:spacing w:after="0"/>
                        <w:rPr>
                          <w:rFonts w:eastAsia="Batang"/>
                          <w:b/>
                          <w:szCs w:val="24"/>
                          <w:lang w:val="en-US" w:eastAsia="x-none"/>
                        </w:rPr>
                      </w:pPr>
                      <w:bookmarkStart w:id="3" w:name="_Hlk142692486"/>
                      <w:r w:rsidRPr="00102A0B">
                        <w:rPr>
                          <w:rFonts w:eastAsia="Batang"/>
                          <w:b/>
                          <w:szCs w:val="24"/>
                          <w:highlight w:val="darkYellow"/>
                          <w:lang w:val="en-US" w:eastAsia="x-none"/>
                        </w:rPr>
                        <w:t>Working assumption</w:t>
                      </w:r>
                    </w:p>
                    <w:p w14:paraId="63850B3C" w14:textId="77777777" w:rsidR="00293794" w:rsidRPr="00102A0B" w:rsidRDefault="00293794" w:rsidP="00293794">
                      <w:pPr>
                        <w:tabs>
                          <w:tab w:val="left" w:pos="1064"/>
                        </w:tabs>
                        <w:spacing w:after="0"/>
                        <w:rPr>
                          <w:rFonts w:eastAsia="Batang"/>
                          <w:szCs w:val="24"/>
                          <w:lang w:val="en-US" w:eastAsia="x-none"/>
                        </w:rPr>
                      </w:pPr>
                      <w:r w:rsidRPr="00102A0B">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20CE926"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 xml:space="preserve">UE shall not perform TA pre-compensation update </w:t>
                      </w:r>
                      <w:r w:rsidRPr="00102A0B">
                        <w:rPr>
                          <w:szCs w:val="24"/>
                          <w:lang w:val="en-US"/>
                        </w:rPr>
                        <w:t>within an actual TDW</w:t>
                      </w:r>
                      <w:r w:rsidRPr="00102A0B">
                        <w:rPr>
                          <w:rFonts w:eastAsia="Batang"/>
                          <w:szCs w:val="18"/>
                          <w:lang w:val="en-US"/>
                        </w:rPr>
                        <w:t xml:space="preserve"> if it causes phase discontinuity that may violate the p</w:t>
                      </w:r>
                      <w:r w:rsidRPr="00102A0B">
                        <w:rPr>
                          <w:szCs w:val="24"/>
                          <w:lang w:val="en-US"/>
                        </w:rPr>
                        <w:t>hase difference limit.</w:t>
                      </w:r>
                    </w:p>
                    <w:p w14:paraId="4458FCF1" w14:textId="77777777" w:rsidR="00293794" w:rsidRPr="00102A0B" w:rsidRDefault="00293794" w:rsidP="00293794">
                      <w:pPr>
                        <w:numPr>
                          <w:ilvl w:val="1"/>
                          <w:numId w:val="25"/>
                        </w:numPr>
                        <w:snapToGrid w:val="0"/>
                        <w:spacing w:after="0"/>
                        <w:rPr>
                          <w:rFonts w:eastAsia="Batang"/>
                          <w:szCs w:val="18"/>
                          <w:lang w:val="en-US"/>
                        </w:rPr>
                      </w:pPr>
                      <w:r w:rsidRPr="00102A0B">
                        <w:rPr>
                          <w:rFonts w:eastAsia="Batang"/>
                          <w:szCs w:val="18"/>
                          <w:lang w:val="en-US"/>
                        </w:rPr>
                        <w:t>FFS: how to determine the actual TDW</w:t>
                      </w:r>
                    </w:p>
                    <w:p w14:paraId="24EC94DA"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FFS: specification impact</w:t>
                      </w:r>
                    </w:p>
                    <w:p w14:paraId="7FCE1340" w14:textId="018CD3E7" w:rsidR="00293794" w:rsidRDefault="00293794" w:rsidP="00293794">
                      <w:r w:rsidRPr="00102A0B">
                        <w:rPr>
                          <w:rFonts w:eastAsia="Batang"/>
                          <w:szCs w:val="18"/>
                          <w:lang w:val="en-US"/>
                        </w:rPr>
                        <w:t>Send an LS to RAN4</w:t>
                      </w:r>
                      <w:bookmarkEnd w:id="3"/>
                    </w:p>
                  </w:txbxContent>
                </v:textbox>
                <w10:wrap type="square"/>
              </v:shape>
            </w:pict>
          </mc:Fallback>
        </mc:AlternateContent>
      </w:r>
    </w:p>
    <w:p w14:paraId="402004B9" w14:textId="56B7BC02" w:rsidR="001635DE" w:rsidRDefault="001635DE" w:rsidP="00447B0C">
      <w:pPr>
        <w:pStyle w:val="Default"/>
        <w:jc w:val="both"/>
        <w:rPr>
          <w:rFonts w:ascii="Times New Roman" w:eastAsia="Times New Roman" w:hAnsi="Times New Roman" w:cs="Times New Roman"/>
          <w:color w:val="auto"/>
          <w:sz w:val="20"/>
          <w:szCs w:val="20"/>
        </w:rPr>
      </w:pPr>
    </w:p>
    <w:p w14:paraId="61B48C57" w14:textId="4B64BF7C" w:rsidR="009E59CA" w:rsidRDefault="009E59CA" w:rsidP="00447B0C">
      <w:pPr>
        <w:pStyle w:val="Default"/>
        <w:jc w:val="both"/>
        <w:rPr>
          <w:rFonts w:ascii="Times New Roman" w:eastAsia="Times New Roman" w:hAnsi="Times New Roman" w:cs="Times New Roman"/>
          <w:color w:val="auto"/>
          <w:sz w:val="20"/>
          <w:szCs w:val="20"/>
        </w:rPr>
      </w:pPr>
      <w:r w:rsidRPr="009E59CA">
        <w:rPr>
          <w:rFonts w:ascii="Times New Roman" w:eastAsia="Times New Roman" w:hAnsi="Times New Roman" w:cs="Times New Roman" w:hint="eastAsia"/>
          <w:color w:val="auto"/>
          <w:sz w:val="20"/>
          <w:szCs w:val="20"/>
        </w:rPr>
        <w:t>In</w:t>
      </w:r>
      <w:r w:rsidRPr="009E59CA">
        <w:rPr>
          <w:rFonts w:ascii="Times New Roman" w:eastAsia="Times New Roman" w:hAnsi="Times New Roman" w:cs="Times New Roman"/>
          <w:color w:val="auto"/>
          <w:sz w:val="20"/>
          <w:szCs w:val="20"/>
        </w:rPr>
        <w:t xml:space="preserve"> RAN4#108</w:t>
      </w:r>
      <w:r>
        <w:rPr>
          <w:rFonts w:ascii="Times New Roman" w:eastAsia="Times New Roman" w:hAnsi="Times New Roman" w:cs="Times New Roman"/>
          <w:color w:val="auto"/>
          <w:sz w:val="20"/>
          <w:szCs w:val="20"/>
        </w:rPr>
        <w:t xml:space="preserve">, the following agreement is reached. </w:t>
      </w:r>
    </w:p>
    <w:p w14:paraId="1370E100" w14:textId="5D26A3A2" w:rsidR="009E59CA" w:rsidRDefault="009E59CA" w:rsidP="00447B0C">
      <w:pPr>
        <w:pStyle w:val="Default"/>
        <w:jc w:val="both"/>
        <w:rPr>
          <w:rFonts w:ascii="Times New Roman" w:eastAsia="Times New Roman" w:hAnsi="Times New Roman" w:cs="Times New Roman"/>
          <w:color w:val="auto"/>
          <w:sz w:val="20"/>
          <w:szCs w:val="20"/>
        </w:rPr>
      </w:pPr>
      <w:r w:rsidRPr="00293794">
        <w:rPr>
          <w:rFonts w:ascii="Times New Roman" w:eastAsia="Times New Roman" w:hAnsi="Times New Roman" w:cs="Times New Roman"/>
          <w:noProof/>
          <w:color w:val="auto"/>
          <w:sz w:val="20"/>
          <w:szCs w:val="20"/>
        </w:rPr>
        <mc:AlternateContent>
          <mc:Choice Requires="wps">
            <w:drawing>
              <wp:anchor distT="45720" distB="45720" distL="114300" distR="114300" simplePos="0" relativeHeight="251663360" behindDoc="0" locked="0" layoutInCell="1" allowOverlap="1" wp14:anchorId="2E606F72" wp14:editId="44A029FA">
                <wp:simplePos x="0" y="0"/>
                <wp:positionH relativeFrom="column">
                  <wp:posOffset>0</wp:posOffset>
                </wp:positionH>
                <wp:positionV relativeFrom="paragraph">
                  <wp:posOffset>191135</wp:posOffset>
                </wp:positionV>
                <wp:extent cx="6165215" cy="1404620"/>
                <wp:effectExtent l="0" t="0" r="2603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rgbClr val="FFFFFF"/>
                        </a:solidFill>
                        <a:ln w="9525">
                          <a:solidFill>
                            <a:srgbClr val="000000"/>
                          </a:solidFill>
                          <a:miter lim="800000"/>
                          <a:headEnd/>
                          <a:tailEnd/>
                        </a:ln>
                      </wps:spPr>
                      <wps:txbx>
                        <w:txbxContent>
                          <w:p w14:paraId="150FE9E9" w14:textId="77777777" w:rsidR="009E59CA" w:rsidRPr="009E59CA" w:rsidRDefault="009E59CA" w:rsidP="009E59CA">
                            <w:pPr>
                              <w:numPr>
                                <w:ilvl w:val="0"/>
                                <w:numId w:val="26"/>
                              </w:numPr>
                              <w:spacing w:after="120"/>
                              <w:ind w:left="720"/>
                              <w:rPr>
                                <w:b/>
                              </w:rPr>
                            </w:pPr>
                            <w:r w:rsidRPr="009E59CA">
                              <w:rPr>
                                <w:b/>
                              </w:rPr>
                              <w:t>Agreement:</w:t>
                            </w:r>
                          </w:p>
                          <w:p w14:paraId="1E8D5601" w14:textId="77777777" w:rsidR="009E59CA" w:rsidRPr="009E59CA" w:rsidRDefault="009E59CA" w:rsidP="009E59CA">
                            <w:pPr>
                              <w:numPr>
                                <w:ilvl w:val="0"/>
                                <w:numId w:val="26"/>
                              </w:numPr>
                              <w:spacing w:after="120"/>
                            </w:pPr>
                            <w:r w:rsidRPr="009E59CA">
                              <w:t>RAN4 investigate the feasibility of an NTN UE to meet the DMRS requirement in the new test condition where DL time would be changing for non-GEO satellite.</w:t>
                            </w:r>
                          </w:p>
                          <w:p w14:paraId="2F292D58" w14:textId="77777777" w:rsidR="009E59CA" w:rsidRPr="009E59CA" w:rsidRDefault="009E59CA" w:rsidP="009E59CA">
                            <w:pPr>
                              <w:numPr>
                                <w:ilvl w:val="1"/>
                                <w:numId w:val="26"/>
                              </w:numPr>
                              <w:spacing w:after="120"/>
                              <w:ind w:left="1352"/>
                            </w:pPr>
                            <w:r w:rsidRPr="009E59CA">
                              <w:rPr>
                                <w:u w:val="single"/>
                              </w:rPr>
                              <w:t>Taking</w:t>
                            </w:r>
                            <w:r w:rsidRPr="009E59CA">
                              <w:t xml:space="preserve"> existing requirements specified for the maximum allowable phase difference for DMRS bundling captured in Table 6.4.2.5-1 of TS38.101-1 as starting point </w:t>
                            </w:r>
                          </w:p>
                          <w:p w14:paraId="59BD5FA9" w14:textId="77777777" w:rsidR="009E59CA" w:rsidRPr="009E59CA" w:rsidRDefault="009E59CA" w:rsidP="009E59CA">
                            <w:pPr>
                              <w:numPr>
                                <w:ilvl w:val="2"/>
                                <w:numId w:val="26"/>
                              </w:numPr>
                              <w:spacing w:after="120"/>
                            </w:pPr>
                            <w:r w:rsidRPr="009E59CA">
                              <w:rPr>
                                <w:u w:val="single"/>
                              </w:rPr>
                              <w:t xml:space="preserve">FFS </w:t>
                            </w:r>
                            <w:r w:rsidRPr="009E59CA">
                              <w:t xml:space="preserve">any update on the side conditions needed or not which also need to be compliant with RAN1 design </w:t>
                            </w:r>
                          </w:p>
                          <w:p w14:paraId="510BB64D" w14:textId="77777777" w:rsidR="009E59CA" w:rsidRPr="009E59CA" w:rsidRDefault="009E59CA" w:rsidP="009E59CA">
                            <w:pPr>
                              <w:numPr>
                                <w:ilvl w:val="0"/>
                                <w:numId w:val="26"/>
                              </w:numPr>
                              <w:spacing w:after="120"/>
                            </w:pPr>
                            <w:r w:rsidRPr="009E59CA">
                              <w:t>From RRM requirements perspective to support NTN-specific PUSCH DMRS bundling:</w:t>
                            </w:r>
                          </w:p>
                          <w:p w14:paraId="495D94FE" w14:textId="77777777" w:rsidR="009E59CA" w:rsidRPr="009E59CA" w:rsidRDefault="009E59CA" w:rsidP="009E59CA">
                            <w:pPr>
                              <w:numPr>
                                <w:ilvl w:val="2"/>
                                <w:numId w:val="27"/>
                              </w:numPr>
                              <w:spacing w:after="120"/>
                            </w:pPr>
                            <w:r w:rsidRPr="009E59CA">
                              <w:rPr>
                                <w:rFonts w:eastAsiaTheme="minorEastAsia"/>
                              </w:rPr>
                              <w:t>Option 1: update the applicability of the timing requirements such that the requirements apply only for the first transmission in the TDW.</w:t>
                            </w:r>
                          </w:p>
                          <w:p w14:paraId="38086BB2" w14:textId="6EA1F819" w:rsidR="009E59CA" w:rsidRDefault="009E59CA" w:rsidP="009E59CA">
                            <w:pPr>
                              <w:numPr>
                                <w:ilvl w:val="2"/>
                                <w:numId w:val="27"/>
                              </w:numPr>
                              <w:spacing w:after="120"/>
                            </w:pPr>
                            <w:r w:rsidRPr="009E59CA">
                              <w:rPr>
                                <w:rFonts w:eastAsiaTheme="minorEastAsia"/>
                              </w:rPr>
                              <w:t>Other options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606F72" id="_x0000_s1027" type="#_x0000_t202" style="position:absolute;left:0;text-align:left;margin-left:0;margin-top:15.05pt;width:485.4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GlgEw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">
                <v:textbox style="mso-fit-shape-to-text:t">
                  <w:txbxContent>
                    <w:p w14:paraId="150FE9E9" w14:textId="77777777" w:rsidR="009E59CA" w:rsidRPr="009E59CA" w:rsidRDefault="009E59CA" w:rsidP="009E59CA">
                      <w:pPr>
                        <w:numPr>
                          <w:ilvl w:val="0"/>
                          <w:numId w:val="26"/>
                        </w:numPr>
                        <w:spacing w:after="120"/>
                        <w:ind w:left="720"/>
                        <w:rPr>
                          <w:b/>
                        </w:rPr>
                      </w:pPr>
                      <w:r w:rsidRPr="009E59CA">
                        <w:rPr>
                          <w:b/>
                        </w:rPr>
                        <w:t>Agreement:</w:t>
                      </w:r>
                    </w:p>
                    <w:p w14:paraId="1E8D5601" w14:textId="77777777" w:rsidR="009E59CA" w:rsidRPr="009E59CA" w:rsidRDefault="009E59CA" w:rsidP="009E59CA">
                      <w:pPr>
                        <w:numPr>
                          <w:ilvl w:val="0"/>
                          <w:numId w:val="26"/>
                        </w:numPr>
                        <w:spacing w:after="120"/>
                      </w:pPr>
                      <w:r w:rsidRPr="009E59CA">
                        <w:t>RAN4 investigate the feasibility of an NTN UE to meet the DMRS requirement in the new test condition where DL time would be changing for non-GEO satellite.</w:t>
                      </w:r>
                    </w:p>
                    <w:p w14:paraId="2F292D58" w14:textId="77777777" w:rsidR="009E59CA" w:rsidRPr="009E59CA" w:rsidRDefault="009E59CA" w:rsidP="009E59CA">
                      <w:pPr>
                        <w:numPr>
                          <w:ilvl w:val="1"/>
                          <w:numId w:val="26"/>
                        </w:numPr>
                        <w:spacing w:after="120"/>
                        <w:ind w:left="1352"/>
                      </w:pPr>
                      <w:r w:rsidRPr="009E59CA">
                        <w:rPr>
                          <w:u w:val="single"/>
                        </w:rPr>
                        <w:t>Taking</w:t>
                      </w:r>
                      <w:r w:rsidRPr="009E59CA">
                        <w:t xml:space="preserve"> existing requirements specified for the maximum allowable phase difference for DMRS bundling captured in Table 6.4.2.5-1 of TS38.101-1 as starting point </w:t>
                      </w:r>
                    </w:p>
                    <w:p w14:paraId="59BD5FA9" w14:textId="77777777" w:rsidR="009E59CA" w:rsidRPr="009E59CA" w:rsidRDefault="009E59CA" w:rsidP="009E59CA">
                      <w:pPr>
                        <w:numPr>
                          <w:ilvl w:val="2"/>
                          <w:numId w:val="26"/>
                        </w:numPr>
                        <w:spacing w:after="120"/>
                      </w:pPr>
                      <w:r w:rsidRPr="009E59CA">
                        <w:rPr>
                          <w:u w:val="single"/>
                        </w:rPr>
                        <w:t xml:space="preserve">FFS </w:t>
                      </w:r>
                      <w:r w:rsidRPr="009E59CA">
                        <w:t xml:space="preserve">any update on the side conditions needed or not which also need to be compliant with RAN1 design </w:t>
                      </w:r>
                    </w:p>
                    <w:p w14:paraId="510BB64D" w14:textId="77777777" w:rsidR="009E59CA" w:rsidRPr="009E59CA" w:rsidRDefault="009E59CA" w:rsidP="009E59CA">
                      <w:pPr>
                        <w:numPr>
                          <w:ilvl w:val="0"/>
                          <w:numId w:val="26"/>
                        </w:numPr>
                        <w:spacing w:after="120"/>
                      </w:pPr>
                      <w:r w:rsidRPr="009E59CA">
                        <w:t>From RRM requirements perspective to support NTN-specific PUSCH DMRS bundling:</w:t>
                      </w:r>
                    </w:p>
                    <w:p w14:paraId="495D94FE" w14:textId="77777777" w:rsidR="009E59CA" w:rsidRPr="009E59CA" w:rsidRDefault="009E59CA" w:rsidP="009E59CA">
                      <w:pPr>
                        <w:numPr>
                          <w:ilvl w:val="2"/>
                          <w:numId w:val="27"/>
                        </w:numPr>
                        <w:spacing w:after="120"/>
                      </w:pPr>
                      <w:r w:rsidRPr="009E59CA">
                        <w:rPr>
                          <w:rFonts w:eastAsiaTheme="minorEastAsia"/>
                        </w:rPr>
                        <w:t>Option 1: update the applicability of the timing requirements such that the requirements apply only for the first transmission in the TDW.</w:t>
                      </w:r>
                    </w:p>
                    <w:p w14:paraId="38086BB2" w14:textId="6EA1F819" w:rsidR="009E59CA" w:rsidRDefault="009E59CA" w:rsidP="009E59CA">
                      <w:pPr>
                        <w:numPr>
                          <w:ilvl w:val="2"/>
                          <w:numId w:val="27"/>
                        </w:numPr>
                        <w:spacing w:after="120"/>
                      </w:pPr>
                      <w:r w:rsidRPr="009E59CA">
                        <w:rPr>
                          <w:rFonts w:eastAsiaTheme="minorEastAsia"/>
                        </w:rPr>
                        <w:t>Other options not precluded.</w:t>
                      </w:r>
                    </w:p>
                  </w:txbxContent>
                </v:textbox>
                <w10:wrap type="square"/>
              </v:shape>
            </w:pict>
          </mc:Fallback>
        </mc:AlternateContent>
      </w:r>
    </w:p>
    <w:p w14:paraId="4C2B118D" w14:textId="2B4D1C13" w:rsidR="009E59CA" w:rsidRDefault="009E59CA" w:rsidP="00447B0C">
      <w:pPr>
        <w:pStyle w:val="Default"/>
        <w:jc w:val="both"/>
        <w:rPr>
          <w:rFonts w:ascii="Times New Roman" w:eastAsia="Times New Roman" w:hAnsi="Times New Roman" w:cs="Times New Roman"/>
          <w:color w:val="auto"/>
          <w:sz w:val="20"/>
          <w:szCs w:val="20"/>
        </w:rPr>
      </w:pPr>
    </w:p>
    <w:p w14:paraId="483AD42D" w14:textId="77777777" w:rsidR="009E59CA" w:rsidRDefault="009E59CA" w:rsidP="00447B0C">
      <w:pPr>
        <w:pStyle w:val="Default"/>
        <w:jc w:val="both"/>
        <w:rPr>
          <w:rFonts w:ascii="Times New Roman" w:eastAsia="Times New Roman" w:hAnsi="Times New Roman" w:cs="Times New Roman"/>
          <w:color w:val="auto"/>
          <w:sz w:val="20"/>
          <w:szCs w:val="20"/>
        </w:rPr>
      </w:pPr>
    </w:p>
    <w:p w14:paraId="3644A4AB" w14:textId="4A5AE9F9" w:rsidR="00293794" w:rsidRDefault="00293794" w:rsidP="00447B0C">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In this contribution, the </w:t>
      </w:r>
      <w:r w:rsidR="00621E91">
        <w:rPr>
          <w:rFonts w:ascii="Times New Roman" w:eastAsia="Times New Roman" w:hAnsi="Times New Roman" w:cs="Times New Roman"/>
          <w:color w:val="auto"/>
          <w:sz w:val="20"/>
          <w:szCs w:val="20"/>
        </w:rPr>
        <w:t xml:space="preserve">corresponding </w:t>
      </w:r>
      <w:r>
        <w:rPr>
          <w:rFonts w:ascii="Times New Roman" w:eastAsia="Times New Roman" w:hAnsi="Times New Roman" w:cs="Times New Roman"/>
          <w:color w:val="auto"/>
          <w:sz w:val="20"/>
          <w:szCs w:val="20"/>
        </w:rPr>
        <w:t xml:space="preserve">RAN4 </w:t>
      </w:r>
      <w:r w:rsidR="00621E91">
        <w:rPr>
          <w:rFonts w:ascii="Times New Roman" w:eastAsia="Times New Roman" w:hAnsi="Times New Roman" w:cs="Times New Roman"/>
          <w:color w:val="auto"/>
          <w:sz w:val="20"/>
          <w:szCs w:val="20"/>
        </w:rPr>
        <w:t xml:space="preserve">requirement </w:t>
      </w:r>
      <w:r>
        <w:rPr>
          <w:rFonts w:ascii="Times New Roman" w:eastAsia="Times New Roman" w:hAnsi="Times New Roman" w:cs="Times New Roman"/>
          <w:color w:val="auto"/>
          <w:sz w:val="20"/>
          <w:szCs w:val="20"/>
        </w:rPr>
        <w:t xml:space="preserve">regarding the </w:t>
      </w:r>
      <w:r w:rsidRPr="00293794">
        <w:rPr>
          <w:rFonts w:ascii="Times New Roman" w:eastAsia="Times New Roman" w:hAnsi="Times New Roman" w:cs="Times New Roman"/>
          <w:color w:val="auto"/>
          <w:sz w:val="20"/>
          <w:szCs w:val="20"/>
        </w:rPr>
        <w:t>TA pre-compensation</w:t>
      </w:r>
      <w:r>
        <w:rPr>
          <w:rFonts w:ascii="Times New Roman" w:eastAsia="Times New Roman" w:hAnsi="Times New Roman" w:cs="Times New Roman"/>
          <w:color w:val="auto"/>
          <w:sz w:val="20"/>
          <w:szCs w:val="20"/>
        </w:rPr>
        <w:t xml:space="preserve"> is </w:t>
      </w:r>
      <w:r w:rsidR="00621E91">
        <w:rPr>
          <w:rFonts w:ascii="Times New Roman" w:eastAsia="Times New Roman" w:hAnsi="Times New Roman" w:cs="Times New Roman"/>
          <w:color w:val="auto"/>
          <w:sz w:val="20"/>
          <w:szCs w:val="20"/>
        </w:rPr>
        <w:t>discussed</w:t>
      </w:r>
      <w:r>
        <w:rPr>
          <w:rFonts w:ascii="Times New Roman" w:eastAsia="Times New Roman" w:hAnsi="Times New Roman" w:cs="Times New Roman"/>
          <w:color w:val="auto"/>
          <w:sz w:val="20"/>
          <w:szCs w:val="20"/>
        </w:rPr>
        <w:t xml:space="preserve">. </w:t>
      </w:r>
    </w:p>
    <w:p w14:paraId="49208323" w14:textId="4D165B3C" w:rsidR="00DA301A" w:rsidRPr="00DA301A" w:rsidRDefault="00293794" w:rsidP="00DA301A">
      <w:pPr>
        <w:pStyle w:val="Heading1"/>
        <w:rPr>
          <w:rFonts w:cs="Arial"/>
          <w:lang w:eastAsia="ja-JP"/>
        </w:rPr>
      </w:pPr>
      <w:r>
        <w:rPr>
          <w:rFonts w:cs="Arial"/>
          <w:lang w:eastAsia="ja-JP"/>
        </w:rPr>
        <w:lastRenderedPageBreak/>
        <w:t>Discussion</w:t>
      </w:r>
    </w:p>
    <w:p w14:paraId="73037329" w14:textId="1767EB26" w:rsidR="00505683" w:rsidRDefault="00202A32" w:rsidP="0068377D">
      <w:pPr>
        <w:jc w:val="both"/>
        <w:rPr>
          <w:rFonts w:eastAsia="Batang"/>
          <w:szCs w:val="18"/>
          <w:lang w:val="en-US"/>
        </w:rPr>
      </w:pPr>
      <w:r>
        <w:rPr>
          <w:rFonts w:eastAsia="Times New Roman"/>
          <w:lang w:val="x-none" w:eastAsia="zh-CN"/>
        </w:rPr>
        <w:t>In</w:t>
      </w:r>
      <w:r w:rsidR="00505683">
        <w:rPr>
          <w:rFonts w:eastAsia="Times New Roman"/>
          <w:lang w:val="x-none" w:eastAsia="zh-CN"/>
        </w:rPr>
        <w:t xml:space="preserve"> RAN1 </w:t>
      </w:r>
      <w:r w:rsidR="00505683">
        <w:rPr>
          <w:rFonts w:eastAsia="Times New Roman"/>
        </w:rPr>
        <w:t>working assumption</w:t>
      </w:r>
      <w:r w:rsidR="00505683" w:rsidRPr="00505683">
        <w:t xml:space="preserve"> </w:t>
      </w:r>
      <w:r w:rsidR="00505683">
        <w:rPr>
          <w:rFonts w:eastAsia="Times New Roman"/>
        </w:rPr>
        <w:t>f</w:t>
      </w:r>
      <w:r w:rsidR="00505683" w:rsidRPr="00505683">
        <w:rPr>
          <w:rFonts w:eastAsia="Times New Roman"/>
        </w:rPr>
        <w:t>or NTN-specific PUSCH DMRS bundling</w:t>
      </w:r>
      <w:r>
        <w:rPr>
          <w:rFonts w:eastAsia="Times New Roman"/>
        </w:rPr>
        <w:t>, it</w:t>
      </w:r>
      <w:r w:rsidR="00505683">
        <w:rPr>
          <w:rFonts w:eastAsia="Times New Roman"/>
        </w:rPr>
        <w:t xml:space="preserve"> requires </w:t>
      </w:r>
      <w:r w:rsidR="00063197">
        <w:rPr>
          <w:rFonts w:eastAsia="Times New Roman"/>
        </w:rPr>
        <w:t xml:space="preserve">that </w:t>
      </w:r>
      <w:r w:rsidR="00505683">
        <w:rPr>
          <w:rFonts w:eastAsia="Times New Roman"/>
        </w:rPr>
        <w:t xml:space="preserve">UE </w:t>
      </w:r>
      <w:r>
        <w:rPr>
          <w:rFonts w:eastAsia="Times New Roman"/>
        </w:rPr>
        <w:t>shall</w:t>
      </w:r>
      <w:r w:rsidR="00063197">
        <w:rPr>
          <w:rFonts w:eastAsia="Times New Roman"/>
        </w:rPr>
        <w:t xml:space="preserve"> not</w:t>
      </w:r>
      <w:r>
        <w:rPr>
          <w:rFonts w:eastAsia="Times New Roman"/>
        </w:rPr>
        <w:t xml:space="preserve"> </w:t>
      </w:r>
      <w:r w:rsidR="00505683" w:rsidRPr="00102A0B">
        <w:rPr>
          <w:rFonts w:eastAsia="Batang"/>
          <w:szCs w:val="18"/>
          <w:lang w:val="en-US"/>
        </w:rPr>
        <w:t>perform TA pre-compensation</w:t>
      </w:r>
      <w:r w:rsidR="00505683">
        <w:rPr>
          <w:rFonts w:eastAsia="Batang"/>
          <w:szCs w:val="18"/>
          <w:lang w:val="en-US"/>
        </w:rPr>
        <w:t xml:space="preserve"> during TDW, in order to keep phase difference within a limit</w:t>
      </w:r>
      <w:r w:rsidR="002C7511">
        <w:rPr>
          <w:rFonts w:eastAsia="Batang"/>
          <w:szCs w:val="18"/>
          <w:lang w:val="en-US"/>
        </w:rPr>
        <w:t>, as</w:t>
      </w:r>
      <w:r w:rsidR="00505683">
        <w:rPr>
          <w:rFonts w:eastAsia="Batang"/>
          <w:szCs w:val="18"/>
          <w:lang w:val="en-US"/>
        </w:rPr>
        <w:t xml:space="preserve"> </w:t>
      </w:r>
      <w:r w:rsidR="002C7511" w:rsidRPr="002C7511">
        <w:rPr>
          <w:rFonts w:eastAsia="Batang"/>
          <w:szCs w:val="18"/>
          <w:lang w:val="en-US"/>
        </w:rPr>
        <w:t>in Table 6.4.2.5-1 of TS38.101-1 as starting point</w:t>
      </w:r>
      <w:r w:rsidR="002C7511">
        <w:rPr>
          <w:rFonts w:eastAsia="Batang"/>
          <w:szCs w:val="18"/>
          <w:lang w:val="en-US"/>
        </w:rPr>
        <w:t>.</w:t>
      </w:r>
    </w:p>
    <w:p w14:paraId="11C81B37" w14:textId="5A1E9FA5" w:rsidR="00505683" w:rsidRPr="002C7511" w:rsidRDefault="00202A32" w:rsidP="0068377D">
      <w:pPr>
        <w:jc w:val="both"/>
        <w:rPr>
          <w:rFonts w:eastAsia="Batang"/>
          <w:szCs w:val="18"/>
          <w:lang w:val="en-US"/>
        </w:rPr>
      </w:pPr>
      <w:r>
        <w:rPr>
          <w:rFonts w:eastAsia="Batang"/>
          <w:szCs w:val="18"/>
          <w:lang w:val="en-US"/>
        </w:rPr>
        <w:t xml:space="preserve">In R17 NR NTN, </w:t>
      </w:r>
      <w:r w:rsidR="00505683">
        <w:rPr>
          <w:rFonts w:eastAsia="Batang"/>
          <w:szCs w:val="18"/>
          <w:lang w:val="en-US"/>
        </w:rPr>
        <w:t xml:space="preserve">the </w:t>
      </w:r>
      <w:r w:rsidR="00505683" w:rsidRPr="00102A0B">
        <w:rPr>
          <w:rFonts w:eastAsia="Batang"/>
          <w:szCs w:val="18"/>
          <w:lang w:val="en-US"/>
        </w:rPr>
        <w:t>TA pre-compensation</w:t>
      </w:r>
      <w:r>
        <w:rPr>
          <w:rFonts w:eastAsia="Batang"/>
          <w:szCs w:val="18"/>
          <w:lang w:val="en-US"/>
        </w:rPr>
        <w:t xml:space="preserve"> was extensively discussed in the </w:t>
      </w:r>
      <w:r w:rsidRPr="00202A32">
        <w:rPr>
          <w:rFonts w:eastAsia="Batang"/>
          <w:szCs w:val="18"/>
          <w:lang w:val="en-US"/>
        </w:rPr>
        <w:t>UE transmit timing requirement, as specified in 7.1C in 38.133</w:t>
      </w:r>
      <w:r>
        <w:rPr>
          <w:rFonts w:eastAsia="Batang"/>
          <w:szCs w:val="18"/>
          <w:lang w:val="en-US"/>
        </w:rPr>
        <w:t xml:space="preserve">, Thus, in our view, RAN4 can update the </w:t>
      </w:r>
      <w:r w:rsidR="002C7511" w:rsidRPr="009E59CA">
        <w:rPr>
          <w:rFonts w:eastAsiaTheme="minorEastAsia"/>
        </w:rPr>
        <w:t>applicability</w:t>
      </w:r>
      <w:r w:rsidR="002C7511">
        <w:rPr>
          <w:rFonts w:eastAsia="Batang"/>
          <w:szCs w:val="18"/>
          <w:lang w:val="en-US"/>
        </w:rPr>
        <w:t xml:space="preserve"> </w:t>
      </w:r>
      <w:r w:rsidR="002C7511" w:rsidRPr="009E59CA">
        <w:rPr>
          <w:rFonts w:eastAsiaTheme="minorEastAsia"/>
        </w:rPr>
        <w:t>of the timing requirements</w:t>
      </w:r>
      <w:r w:rsidR="002C7511">
        <w:rPr>
          <w:rFonts w:eastAsiaTheme="minorEastAsia"/>
        </w:rPr>
        <w:t xml:space="preserve">, </w:t>
      </w:r>
      <w:r w:rsidRPr="00202A32">
        <w:rPr>
          <w:rFonts w:eastAsia="Batang"/>
          <w:szCs w:val="18"/>
          <w:lang w:val="en-US"/>
        </w:rPr>
        <w:t>for NTN-specific PUSCH DMRS bundling</w:t>
      </w:r>
      <w:r>
        <w:rPr>
          <w:rFonts w:eastAsia="Batang"/>
          <w:szCs w:val="18"/>
          <w:lang w:val="en-US"/>
        </w:rPr>
        <w:t>.</w:t>
      </w:r>
      <w:r w:rsidR="002C7511">
        <w:rPr>
          <w:rFonts w:eastAsia="Batang"/>
          <w:szCs w:val="18"/>
          <w:lang w:val="en-US"/>
        </w:rPr>
        <w:t xml:space="preserve"> Option 1 seems a reasonable approach.</w:t>
      </w:r>
    </w:p>
    <w:p w14:paraId="2F91806A" w14:textId="0580A551" w:rsidR="006667D8" w:rsidRDefault="006667D8" w:rsidP="002C7511">
      <w:pPr>
        <w:pStyle w:val="Caption"/>
        <w:jc w:val="both"/>
        <w:rPr>
          <w:rFonts w:ascii="Arial" w:hAnsi="Arial" w:cs="Arial"/>
        </w:rPr>
      </w:pPr>
      <w:bookmarkStart w:id="3" w:name="_Ref146104130"/>
      <w:bookmarkStart w:id="4" w:name="_Ref142405715"/>
      <w:bookmarkStart w:id="5" w:name="_Ref142693233"/>
      <w:r w:rsidRPr="002D7C33">
        <w:rPr>
          <w:rFonts w:ascii="Arial" w:hAnsi="Arial" w:cs="Arial"/>
        </w:rPr>
        <w:t xml:space="preserve">Proposal </w:t>
      </w:r>
      <w:r w:rsidRPr="002D7C33">
        <w:rPr>
          <w:rFonts w:ascii="Arial" w:hAnsi="Arial" w:cs="Arial"/>
        </w:rPr>
        <w:fldChar w:fldCharType="begin"/>
      </w:r>
      <w:r w:rsidRPr="002D7C33">
        <w:rPr>
          <w:rFonts w:ascii="Arial" w:hAnsi="Arial" w:cs="Arial"/>
        </w:rPr>
        <w:instrText xml:space="preserve"> SEQ Proposal \* ARABIC </w:instrText>
      </w:r>
      <w:r w:rsidRPr="002D7C33">
        <w:rPr>
          <w:rFonts w:ascii="Arial" w:hAnsi="Arial" w:cs="Arial"/>
        </w:rPr>
        <w:fldChar w:fldCharType="separate"/>
      </w:r>
      <w:r w:rsidR="002C7511">
        <w:rPr>
          <w:rFonts w:ascii="Arial" w:hAnsi="Arial" w:cs="Arial"/>
          <w:noProof/>
        </w:rPr>
        <w:t>1</w:t>
      </w:r>
      <w:r w:rsidRPr="002D7C33">
        <w:rPr>
          <w:rFonts w:ascii="Arial" w:hAnsi="Arial" w:cs="Arial"/>
        </w:rPr>
        <w:fldChar w:fldCharType="end"/>
      </w:r>
      <w:r w:rsidRPr="002D7C33">
        <w:rPr>
          <w:rFonts w:ascii="Arial" w:hAnsi="Arial" w:cs="Arial"/>
        </w:rPr>
        <w:t>:</w:t>
      </w:r>
      <w:r w:rsidR="002C7511" w:rsidRPr="002C7511">
        <w:t xml:space="preserve"> </w:t>
      </w:r>
      <w:r w:rsidR="002C7511" w:rsidRPr="002C7511">
        <w:rPr>
          <w:rFonts w:ascii="Arial" w:hAnsi="Arial" w:cs="Arial"/>
        </w:rPr>
        <w:t>On RRM requirement, update the applicability of the timing requirements such that the requirements apply only for the first transmission in the TDW. (Option 1)</w:t>
      </w:r>
      <w:bookmarkEnd w:id="3"/>
      <w:r w:rsidRPr="002D7C33">
        <w:rPr>
          <w:rFonts w:ascii="Arial" w:hAnsi="Arial" w:cs="Arial"/>
        </w:rPr>
        <w:t xml:space="preserve"> </w:t>
      </w:r>
      <w:bookmarkEnd w:id="4"/>
      <w:bookmarkEnd w:id="5"/>
    </w:p>
    <w:p w14:paraId="67452C67" w14:textId="67DB7D0C" w:rsidR="004F11F3" w:rsidRPr="002D7C33" w:rsidRDefault="004F11F3" w:rsidP="004F11F3">
      <w:pPr>
        <w:pStyle w:val="Heading1"/>
        <w:rPr>
          <w:rFonts w:cs="Arial"/>
          <w:lang w:eastAsia="ja-JP"/>
        </w:rPr>
      </w:pPr>
      <w:r w:rsidRPr="002D7C33">
        <w:rPr>
          <w:rFonts w:cs="Arial"/>
          <w:lang w:eastAsia="ja-JP"/>
        </w:rPr>
        <w:t>Summary</w:t>
      </w:r>
    </w:p>
    <w:p w14:paraId="57B6A6A8" w14:textId="3352D5C4" w:rsidR="004F11F3" w:rsidRDefault="004F11F3" w:rsidP="004F11F3">
      <w:pPr>
        <w:rPr>
          <w:rFonts w:ascii="Arial" w:eastAsia="Batang" w:hAnsi="Arial" w:cs="Arial"/>
          <w:lang w:eastAsia="ko-KR"/>
        </w:rPr>
      </w:pPr>
      <w:r w:rsidRPr="002D7C33">
        <w:rPr>
          <w:rFonts w:ascii="Arial" w:eastAsia="Batang" w:hAnsi="Arial" w:cs="Arial" w:hint="eastAsia"/>
          <w:lang w:eastAsia="ko-KR"/>
        </w:rPr>
        <w:t>T</w:t>
      </w:r>
      <w:r w:rsidRPr="002D7C33">
        <w:rPr>
          <w:rFonts w:ascii="Arial" w:eastAsia="Batang" w:hAnsi="Arial" w:cs="Arial"/>
          <w:lang w:eastAsia="ko-KR"/>
        </w:rPr>
        <w:t xml:space="preserve">he </w:t>
      </w:r>
      <w:r w:rsidR="00FB02C3" w:rsidRPr="002D7C33">
        <w:rPr>
          <w:rFonts w:ascii="Arial" w:eastAsia="Batang" w:hAnsi="Arial" w:cs="Arial"/>
          <w:lang w:eastAsia="ko-KR"/>
        </w:rPr>
        <w:t>observations</w:t>
      </w:r>
      <w:r w:rsidRPr="002D7C33">
        <w:rPr>
          <w:rFonts w:ascii="Arial" w:eastAsia="Batang" w:hAnsi="Arial" w:cs="Arial"/>
          <w:lang w:eastAsia="ko-KR"/>
        </w:rPr>
        <w:t xml:space="preserve"> and proposals in this contribution are </w:t>
      </w:r>
      <w:r w:rsidR="00FB02C3" w:rsidRPr="002D7C33">
        <w:rPr>
          <w:rFonts w:ascii="Arial" w:eastAsia="Batang" w:hAnsi="Arial" w:cs="Arial"/>
          <w:lang w:eastAsia="ko-KR"/>
        </w:rPr>
        <w:t>summarized</w:t>
      </w:r>
      <w:r w:rsidRPr="002D7C33">
        <w:rPr>
          <w:rFonts w:ascii="Arial" w:eastAsia="Batang" w:hAnsi="Arial" w:cs="Arial"/>
          <w:lang w:eastAsia="ko-KR"/>
        </w:rPr>
        <w:t>:</w:t>
      </w:r>
    </w:p>
    <w:p w14:paraId="0BDF82AB" w14:textId="72761911" w:rsidR="002C7511" w:rsidRPr="002C7511" w:rsidRDefault="002C7511" w:rsidP="004F11F3">
      <w:pPr>
        <w:rPr>
          <w:rFonts w:ascii="Arial" w:eastAsia="Batang" w:hAnsi="Arial" w:cs="Arial"/>
          <w:b/>
          <w:bCs/>
          <w:lang w:eastAsia="ko-KR"/>
        </w:rPr>
      </w:pPr>
      <w:r w:rsidRPr="002C7511">
        <w:rPr>
          <w:rFonts w:ascii="Arial" w:eastAsia="Batang" w:hAnsi="Arial" w:cs="Arial"/>
          <w:b/>
          <w:bCs/>
          <w:lang w:eastAsia="ko-KR"/>
        </w:rPr>
        <w:fldChar w:fldCharType="begin"/>
      </w:r>
      <w:r w:rsidRPr="002C7511">
        <w:rPr>
          <w:rFonts w:ascii="Arial" w:eastAsia="Batang" w:hAnsi="Arial" w:cs="Arial"/>
          <w:b/>
          <w:bCs/>
          <w:lang w:eastAsia="ko-KR"/>
        </w:rPr>
        <w:instrText xml:space="preserve"> REF _Ref146104130 \h </w:instrText>
      </w:r>
      <w:r>
        <w:rPr>
          <w:rFonts w:ascii="Arial" w:eastAsia="Batang" w:hAnsi="Arial" w:cs="Arial"/>
          <w:b/>
          <w:bCs/>
          <w:lang w:eastAsia="ko-KR"/>
        </w:rPr>
        <w:instrText xml:space="preserve"> \* MERGEFORMAT </w:instrText>
      </w:r>
      <w:r w:rsidRPr="002C7511">
        <w:rPr>
          <w:rFonts w:ascii="Arial" w:eastAsia="Batang" w:hAnsi="Arial" w:cs="Arial"/>
          <w:b/>
          <w:bCs/>
          <w:lang w:eastAsia="ko-KR"/>
        </w:rPr>
      </w:r>
      <w:r w:rsidRPr="002C7511">
        <w:rPr>
          <w:rFonts w:ascii="Arial" w:eastAsia="Batang" w:hAnsi="Arial" w:cs="Arial"/>
          <w:b/>
          <w:bCs/>
          <w:lang w:eastAsia="ko-KR"/>
        </w:rPr>
        <w:fldChar w:fldCharType="separate"/>
      </w:r>
      <w:r w:rsidRPr="002C7511">
        <w:rPr>
          <w:rFonts w:ascii="Arial" w:hAnsi="Arial" w:cs="Arial"/>
          <w:b/>
          <w:bCs/>
        </w:rPr>
        <w:t xml:space="preserve">Proposal </w:t>
      </w:r>
      <w:r w:rsidRPr="002C7511">
        <w:rPr>
          <w:rFonts w:ascii="Arial" w:hAnsi="Arial" w:cs="Arial"/>
          <w:b/>
          <w:bCs/>
          <w:noProof/>
        </w:rPr>
        <w:t>1</w:t>
      </w:r>
      <w:r w:rsidRPr="002C7511">
        <w:rPr>
          <w:rFonts w:ascii="Arial" w:hAnsi="Arial" w:cs="Arial"/>
          <w:b/>
          <w:bCs/>
        </w:rPr>
        <w:t>:</w:t>
      </w:r>
      <w:r w:rsidRPr="002C7511">
        <w:rPr>
          <w:b/>
          <w:bCs/>
        </w:rPr>
        <w:t xml:space="preserve"> </w:t>
      </w:r>
      <w:r w:rsidRPr="002C7511">
        <w:rPr>
          <w:rFonts w:ascii="Arial" w:hAnsi="Arial" w:cs="Arial"/>
          <w:b/>
          <w:bCs/>
        </w:rPr>
        <w:t>On RRM requirement, update the applicability of the timing requirements such that the requirements apply only for the first transmission in the TDW. (Option 1)</w:t>
      </w:r>
      <w:r w:rsidRPr="002C7511">
        <w:rPr>
          <w:rFonts w:ascii="Arial" w:eastAsia="Batang" w:hAnsi="Arial" w:cs="Arial"/>
          <w:b/>
          <w:bCs/>
          <w:lang w:eastAsia="ko-KR"/>
        </w:rPr>
        <w:fldChar w:fldCharType="end"/>
      </w:r>
    </w:p>
    <w:p w14:paraId="2EF2AA87" w14:textId="5A1A0D38" w:rsidR="00732835" w:rsidRPr="00D32820" w:rsidRDefault="00B971BF" w:rsidP="00D32820">
      <w:pPr>
        <w:pStyle w:val="Heading1"/>
        <w:numPr>
          <w:ilvl w:val="0"/>
          <w:numId w:val="0"/>
        </w:numPr>
        <w:rPr>
          <w:rFonts w:cs="Arial"/>
          <w:lang w:eastAsia="ja-JP"/>
        </w:rPr>
      </w:pPr>
      <w:r w:rsidRPr="002630D6">
        <w:rPr>
          <w:rFonts w:cs="Arial"/>
          <w:lang w:eastAsia="ja-JP"/>
        </w:rPr>
        <w:t xml:space="preserve">Reference </w:t>
      </w:r>
      <w:bookmarkStart w:id="6" w:name="_Ref53845332"/>
    </w:p>
    <w:p w14:paraId="532780F1" w14:textId="416EF412" w:rsidR="007B130A" w:rsidRDefault="00293794" w:rsidP="0029379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7" w:name="_Ref134534256"/>
      <w:r w:rsidRPr="00293794">
        <w:rPr>
          <w:rFonts w:ascii="Arial" w:hAnsi="Arial" w:cs="Arial"/>
        </w:rPr>
        <w:t>R1-2304094</w:t>
      </w:r>
      <w:r w:rsidR="00052F8F">
        <w:rPr>
          <w:rFonts w:ascii="Arial" w:hAnsi="Arial" w:cs="Arial"/>
        </w:rPr>
        <w:t xml:space="preserve">, </w:t>
      </w:r>
      <w:r w:rsidRPr="00293794">
        <w:rPr>
          <w:rFonts w:ascii="Arial" w:hAnsi="Arial" w:cs="Arial"/>
        </w:rPr>
        <w:t>LS on PUSCH DMRS bundling for NR NTN coverage enhancement</w:t>
      </w:r>
      <w:r w:rsidR="00052F8F">
        <w:rPr>
          <w:rFonts w:ascii="Arial" w:hAnsi="Arial" w:cs="Arial"/>
        </w:rPr>
        <w:t xml:space="preserve">, </w:t>
      </w:r>
      <w:r>
        <w:rPr>
          <w:rFonts w:ascii="Arial" w:hAnsi="Arial" w:cs="Arial"/>
        </w:rPr>
        <w:t>RAN1#112bis-e Apr.</w:t>
      </w:r>
      <w:r w:rsidR="00052F8F">
        <w:rPr>
          <w:rFonts w:ascii="Arial" w:hAnsi="Arial" w:cs="Arial"/>
        </w:rPr>
        <w:t xml:space="preserve"> 2023.</w:t>
      </w:r>
      <w:bookmarkEnd w:id="6"/>
      <w:bookmarkEnd w:id="7"/>
    </w:p>
    <w:p w14:paraId="58962117" w14:textId="74156F30" w:rsidR="009E59CA" w:rsidRPr="00293794" w:rsidRDefault="009E59CA" w:rsidP="00293794">
      <w:pPr>
        <w:pStyle w:val="ListParagraph"/>
        <w:widowControl w:val="0"/>
        <w:numPr>
          <w:ilvl w:val="0"/>
          <w:numId w:val="2"/>
        </w:numPr>
        <w:overflowPunct/>
        <w:autoSpaceDE/>
        <w:autoSpaceDN/>
        <w:adjustRightInd/>
        <w:spacing w:after="0"/>
        <w:ind w:right="72" w:firstLineChars="0"/>
        <w:textAlignment w:val="auto"/>
        <w:rPr>
          <w:rFonts w:ascii="Arial" w:hAnsi="Arial" w:cs="Arial"/>
        </w:rPr>
      </w:pPr>
      <w:r w:rsidRPr="009E59CA">
        <w:rPr>
          <w:rFonts w:ascii="Arial" w:hAnsi="Arial" w:cs="Arial"/>
        </w:rPr>
        <w:t>R4-2313864</w:t>
      </w:r>
      <w:r>
        <w:rPr>
          <w:rFonts w:ascii="Arial" w:hAnsi="Arial" w:cs="Arial"/>
        </w:rPr>
        <w:t xml:space="preserve">, </w:t>
      </w:r>
      <w:r w:rsidRPr="009E59CA">
        <w:rPr>
          <w:rFonts w:ascii="Arial" w:hAnsi="Arial" w:cs="Arial"/>
        </w:rPr>
        <w:t>WF for NTN general part</w:t>
      </w:r>
      <w:r>
        <w:rPr>
          <w:rFonts w:ascii="Arial" w:hAnsi="Arial" w:cs="Arial"/>
        </w:rPr>
        <w:t>, RAN4#108, Aug. 2023.</w:t>
      </w:r>
    </w:p>
    <w:sectPr w:rsidR="009E59CA" w:rsidRPr="0029379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42C5C" w14:textId="77777777" w:rsidR="0020780F" w:rsidRDefault="0020780F">
      <w:r>
        <w:separator/>
      </w:r>
    </w:p>
  </w:endnote>
  <w:endnote w:type="continuationSeparator" w:id="0">
    <w:p w14:paraId="562D768C" w14:textId="77777777" w:rsidR="0020780F" w:rsidRDefault="0020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86B53" w14:textId="77777777" w:rsidR="0020780F" w:rsidRDefault="0020780F">
      <w:r>
        <w:separator/>
      </w:r>
    </w:p>
  </w:footnote>
  <w:footnote w:type="continuationSeparator" w:id="0">
    <w:p w14:paraId="3820C624" w14:textId="77777777" w:rsidR="0020780F" w:rsidRDefault="00207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2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6"/>
  </w:num>
  <w:num w:numId="2" w16cid:durableId="430858556">
    <w:abstractNumId w:val="20"/>
  </w:num>
  <w:num w:numId="3" w16cid:durableId="1386566808">
    <w:abstractNumId w:val="24"/>
  </w:num>
  <w:num w:numId="4" w16cid:durableId="229846888">
    <w:abstractNumId w:val="22"/>
  </w:num>
  <w:num w:numId="5" w16cid:durableId="671876569">
    <w:abstractNumId w:val="6"/>
  </w:num>
  <w:num w:numId="6" w16cid:durableId="613635211">
    <w:abstractNumId w:val="26"/>
  </w:num>
  <w:num w:numId="7" w16cid:durableId="367340989">
    <w:abstractNumId w:val="1"/>
    <w:lvlOverride w:ilvl="0">
      <w:startOverride w:val="1"/>
    </w:lvlOverride>
  </w:num>
  <w:num w:numId="8" w16cid:durableId="657661003">
    <w:abstractNumId w:val="14"/>
    <w:lvlOverride w:ilvl="0">
      <w:startOverride w:val="3"/>
    </w:lvlOverride>
  </w:num>
  <w:num w:numId="9" w16cid:durableId="1872264335">
    <w:abstractNumId w:val="9"/>
    <w:lvlOverride w:ilvl="0">
      <w:startOverride w:val="4"/>
    </w:lvlOverride>
  </w:num>
  <w:num w:numId="10" w16cid:durableId="517962102">
    <w:abstractNumId w:val="8"/>
  </w:num>
  <w:num w:numId="11" w16cid:durableId="1998682122">
    <w:abstractNumId w:val="7"/>
  </w:num>
  <w:num w:numId="12" w16cid:durableId="1265725914">
    <w:abstractNumId w:val="2"/>
  </w:num>
  <w:num w:numId="13" w16cid:durableId="324631995">
    <w:abstractNumId w:val="25"/>
  </w:num>
  <w:num w:numId="14" w16cid:durableId="1540122812">
    <w:abstractNumId w:val="18"/>
  </w:num>
  <w:num w:numId="15" w16cid:durableId="813134535">
    <w:abstractNumId w:val="5"/>
  </w:num>
  <w:num w:numId="16" w16cid:durableId="1289311223">
    <w:abstractNumId w:val="17"/>
  </w:num>
  <w:num w:numId="17" w16cid:durableId="551160914">
    <w:abstractNumId w:val="3"/>
  </w:num>
  <w:num w:numId="18" w16cid:durableId="839999631">
    <w:abstractNumId w:val="11"/>
  </w:num>
  <w:num w:numId="19" w16cid:durableId="1391492614">
    <w:abstractNumId w:val="21"/>
  </w:num>
  <w:num w:numId="20" w16cid:durableId="1213345461">
    <w:abstractNumId w:val="0"/>
  </w:num>
  <w:num w:numId="21" w16cid:durableId="967902767">
    <w:abstractNumId w:val="13"/>
  </w:num>
  <w:num w:numId="22" w16cid:durableId="1249459322">
    <w:abstractNumId w:val="15"/>
  </w:num>
  <w:num w:numId="23" w16cid:durableId="570041750">
    <w:abstractNumId w:val="10"/>
  </w:num>
  <w:num w:numId="24" w16cid:durableId="1440181081">
    <w:abstractNumId w:val="12"/>
  </w:num>
  <w:num w:numId="25" w16cid:durableId="91708573">
    <w:abstractNumId w:val="4"/>
  </w:num>
  <w:num w:numId="26" w16cid:durableId="1533034048">
    <w:abstractNumId w:val="19"/>
  </w:num>
  <w:num w:numId="27" w16cid:durableId="1892842003">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71D"/>
    <w:rsid w:val="00031C1D"/>
    <w:rsid w:val="00034D9B"/>
    <w:rsid w:val="00035C50"/>
    <w:rsid w:val="000457A1"/>
    <w:rsid w:val="00050001"/>
    <w:rsid w:val="00052041"/>
    <w:rsid w:val="00052F8F"/>
    <w:rsid w:val="0005326A"/>
    <w:rsid w:val="0005577B"/>
    <w:rsid w:val="000559F6"/>
    <w:rsid w:val="00060569"/>
    <w:rsid w:val="0006266D"/>
    <w:rsid w:val="00063197"/>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6D65"/>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60CDD"/>
    <w:rsid w:val="00162548"/>
    <w:rsid w:val="001627C8"/>
    <w:rsid w:val="001635DE"/>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40D"/>
    <w:rsid w:val="001F0B20"/>
    <w:rsid w:val="001F2E6D"/>
    <w:rsid w:val="001F5C5B"/>
    <w:rsid w:val="00200A62"/>
    <w:rsid w:val="00202A32"/>
    <w:rsid w:val="00203740"/>
    <w:rsid w:val="00206A31"/>
    <w:rsid w:val="0020780F"/>
    <w:rsid w:val="002138EA"/>
    <w:rsid w:val="002139EA"/>
    <w:rsid w:val="00213F84"/>
    <w:rsid w:val="00214FBD"/>
    <w:rsid w:val="0021680C"/>
    <w:rsid w:val="00221851"/>
    <w:rsid w:val="00221E08"/>
    <w:rsid w:val="00222897"/>
    <w:rsid w:val="00222B0C"/>
    <w:rsid w:val="00227DE6"/>
    <w:rsid w:val="002304E4"/>
    <w:rsid w:val="00233B36"/>
    <w:rsid w:val="002348E2"/>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1E1E"/>
    <w:rsid w:val="00293794"/>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C7511"/>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14DE"/>
    <w:rsid w:val="00312F66"/>
    <w:rsid w:val="00315867"/>
    <w:rsid w:val="00317C3F"/>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2816"/>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E724A"/>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2B9"/>
    <w:rsid w:val="004E7329"/>
    <w:rsid w:val="004F11F3"/>
    <w:rsid w:val="004F2CB0"/>
    <w:rsid w:val="004F460D"/>
    <w:rsid w:val="005017F7"/>
    <w:rsid w:val="00501FA7"/>
    <w:rsid w:val="005034DC"/>
    <w:rsid w:val="00503891"/>
    <w:rsid w:val="00505683"/>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400"/>
    <w:rsid w:val="005C6C84"/>
    <w:rsid w:val="005C7EBB"/>
    <w:rsid w:val="005D0B99"/>
    <w:rsid w:val="005D308E"/>
    <w:rsid w:val="005D3A48"/>
    <w:rsid w:val="005D7AF8"/>
    <w:rsid w:val="005E0DA9"/>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1E91"/>
    <w:rsid w:val="0062710C"/>
    <w:rsid w:val="006302AA"/>
    <w:rsid w:val="00630319"/>
    <w:rsid w:val="0063137C"/>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1143"/>
    <w:rsid w:val="00664FDB"/>
    <w:rsid w:val="006667D8"/>
    <w:rsid w:val="006670AC"/>
    <w:rsid w:val="006714F8"/>
    <w:rsid w:val="00672307"/>
    <w:rsid w:val="006808C6"/>
    <w:rsid w:val="00682668"/>
    <w:rsid w:val="00682E84"/>
    <w:rsid w:val="0068377D"/>
    <w:rsid w:val="00686B4B"/>
    <w:rsid w:val="00687409"/>
    <w:rsid w:val="00687B51"/>
    <w:rsid w:val="00692A68"/>
    <w:rsid w:val="00693DCA"/>
    <w:rsid w:val="0069560C"/>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6661D"/>
    <w:rsid w:val="007704E2"/>
    <w:rsid w:val="00774817"/>
    <w:rsid w:val="007763C1"/>
    <w:rsid w:val="00777E82"/>
    <w:rsid w:val="00781359"/>
    <w:rsid w:val="0078375E"/>
    <w:rsid w:val="00785CED"/>
    <w:rsid w:val="00786921"/>
    <w:rsid w:val="00790753"/>
    <w:rsid w:val="00790854"/>
    <w:rsid w:val="007A087D"/>
    <w:rsid w:val="007A1EAA"/>
    <w:rsid w:val="007A415A"/>
    <w:rsid w:val="007A7118"/>
    <w:rsid w:val="007A7858"/>
    <w:rsid w:val="007A79FD"/>
    <w:rsid w:val="007B036F"/>
    <w:rsid w:val="007B0B9D"/>
    <w:rsid w:val="007B130A"/>
    <w:rsid w:val="007B26E3"/>
    <w:rsid w:val="007B38C7"/>
    <w:rsid w:val="007B39F1"/>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6D5B"/>
    <w:rsid w:val="00866FF5"/>
    <w:rsid w:val="008673D4"/>
    <w:rsid w:val="008708D3"/>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2BF"/>
    <w:rsid w:val="008C7387"/>
    <w:rsid w:val="008D1B7C"/>
    <w:rsid w:val="008D6560"/>
    <w:rsid w:val="008D6657"/>
    <w:rsid w:val="008E051B"/>
    <w:rsid w:val="008E1F60"/>
    <w:rsid w:val="008E307E"/>
    <w:rsid w:val="008F4DD1"/>
    <w:rsid w:val="008F6056"/>
    <w:rsid w:val="00901D4B"/>
    <w:rsid w:val="00901E93"/>
    <w:rsid w:val="00902C07"/>
    <w:rsid w:val="00905804"/>
    <w:rsid w:val="00906E4B"/>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2140"/>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E59CA"/>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7881"/>
    <w:rsid w:val="00A879BF"/>
    <w:rsid w:val="00A87FEB"/>
    <w:rsid w:val="00A905D2"/>
    <w:rsid w:val="00A90ADC"/>
    <w:rsid w:val="00A91736"/>
    <w:rsid w:val="00A929D3"/>
    <w:rsid w:val="00A93F9F"/>
    <w:rsid w:val="00A9420E"/>
    <w:rsid w:val="00A97648"/>
    <w:rsid w:val="00A97C0C"/>
    <w:rsid w:val="00AA1CFD"/>
    <w:rsid w:val="00AA2239"/>
    <w:rsid w:val="00AA33D2"/>
    <w:rsid w:val="00AA5F59"/>
    <w:rsid w:val="00AB0C57"/>
    <w:rsid w:val="00AB1195"/>
    <w:rsid w:val="00AB28CF"/>
    <w:rsid w:val="00AB4182"/>
    <w:rsid w:val="00AB4D14"/>
    <w:rsid w:val="00AC27DB"/>
    <w:rsid w:val="00AC58C1"/>
    <w:rsid w:val="00AC637E"/>
    <w:rsid w:val="00AC6D6B"/>
    <w:rsid w:val="00AD0DA6"/>
    <w:rsid w:val="00AD4DE6"/>
    <w:rsid w:val="00AD4FA8"/>
    <w:rsid w:val="00AD7736"/>
    <w:rsid w:val="00AE10CE"/>
    <w:rsid w:val="00AE5E7B"/>
    <w:rsid w:val="00AE7097"/>
    <w:rsid w:val="00AE70D4"/>
    <w:rsid w:val="00AE7868"/>
    <w:rsid w:val="00AF0407"/>
    <w:rsid w:val="00AF049B"/>
    <w:rsid w:val="00AF1741"/>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14F1"/>
    <w:rsid w:val="00BB572E"/>
    <w:rsid w:val="00BB74FD"/>
    <w:rsid w:val="00BB76EE"/>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4ED8"/>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820"/>
    <w:rsid w:val="00D35F9B"/>
    <w:rsid w:val="00D36B69"/>
    <w:rsid w:val="00D408DD"/>
    <w:rsid w:val="00D429E1"/>
    <w:rsid w:val="00D43F83"/>
    <w:rsid w:val="00D45D72"/>
    <w:rsid w:val="00D4676B"/>
    <w:rsid w:val="00D520E4"/>
    <w:rsid w:val="00D53A38"/>
    <w:rsid w:val="00D575DD"/>
    <w:rsid w:val="00D57DFA"/>
    <w:rsid w:val="00D6454D"/>
    <w:rsid w:val="00D6721F"/>
    <w:rsid w:val="00D67763"/>
    <w:rsid w:val="00D67FCF"/>
    <w:rsid w:val="00D70411"/>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4496"/>
    <w:rsid w:val="00EE4987"/>
    <w:rsid w:val="00EE62AE"/>
    <w:rsid w:val="00EF0FD8"/>
    <w:rsid w:val="00EF1EC5"/>
    <w:rsid w:val="00EF487A"/>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37F9A"/>
    <w:rsid w:val="00F4136D"/>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EB0"/>
    <w:rsid w:val="00F81B4B"/>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1FCB"/>
    <w:rsid w:val="00FF52D4"/>
    <w:rsid w:val="00FF643A"/>
    <w:rsid w:val="00FF6AA4"/>
    <w:rsid w:val="00FF6B09"/>
    <w:rsid w:val="00FF6B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TotalTime>
  <Pages>1</Pages>
  <Words>262</Words>
  <Characters>1495</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102</cp:revision>
  <cp:lastPrinted>2019-04-25T01:09:00Z</cp:lastPrinted>
  <dcterms:created xsi:type="dcterms:W3CDTF">2023-04-10T09:07:00Z</dcterms:created>
  <dcterms:modified xsi:type="dcterms:W3CDTF">2023-09-26T15:55:00Z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